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4B" w:rsidRPr="00E95202" w:rsidRDefault="00E95202" w:rsidP="00E9520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95202">
        <w:rPr>
          <w:rFonts w:ascii="Times New Roman" w:hAnsi="Times New Roman" w:cs="Times New Roman"/>
          <w:sz w:val="26"/>
          <w:szCs w:val="26"/>
        </w:rPr>
        <w:t>6. ПРОГНОЗНАЯ ОЦЕНКА РАСХОДОВ НА РЕАЛИЗАЦИЮ МУНИЦИПАЛЬНОЙ ПРОГРАММЫ ЗА СЧЕТ ВСЕХ ИСТОЧНИКОВ</w:t>
      </w:r>
    </w:p>
    <w:tbl>
      <w:tblPr>
        <w:tblW w:w="1304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92"/>
        <w:gridCol w:w="2160"/>
        <w:gridCol w:w="3827"/>
        <w:gridCol w:w="709"/>
        <w:gridCol w:w="709"/>
        <w:gridCol w:w="709"/>
        <w:gridCol w:w="709"/>
        <w:gridCol w:w="709"/>
        <w:gridCol w:w="709"/>
        <w:gridCol w:w="709"/>
      </w:tblGrid>
      <w:tr w:rsidR="009D6F4B" w:rsidRPr="009D6F4B" w:rsidTr="009D6F4B">
        <w:trPr>
          <w:gridAfter w:val="3"/>
          <w:wAfter w:w="2127" w:type="dxa"/>
          <w:trHeight w:val="276"/>
        </w:trPr>
        <w:tc>
          <w:tcPr>
            <w:tcW w:w="8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6F4B" w:rsidRPr="009D6F4B" w:rsidTr="009D6F4B">
        <w:trPr>
          <w:trHeight w:val="648"/>
        </w:trPr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Статус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Источники финансирования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2026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2028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</w:tr>
      <w:tr w:rsidR="009D6F4B" w:rsidRPr="009D6F4B" w:rsidTr="009D6F4B">
        <w:tc>
          <w:tcPr>
            <w:tcW w:w="2092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ED6D8F" w:rsidRPr="009D6F4B" w:rsidTr="009D6F4B">
        <w:tc>
          <w:tcPr>
            <w:tcW w:w="4252" w:type="dxa"/>
            <w:gridSpan w:val="2"/>
            <w:vMerge w:val="restart"/>
            <w:tcBorders>
              <w:right w:val="single" w:sz="4" w:space="0" w:color="auto"/>
            </w:tcBorders>
          </w:tcPr>
          <w:p w:rsidR="00ED6D8F" w:rsidRPr="0025544B" w:rsidRDefault="00ED6D8F" w:rsidP="002554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544B">
              <w:rPr>
                <w:rFonts w:ascii="Times New Roman" w:hAnsi="Times New Roman" w:cs="Times New Roman"/>
              </w:rPr>
              <w:t xml:space="preserve"> «Развитие муниципальной службы в Вознесенском муниципальном </w:t>
            </w:r>
            <w:r>
              <w:rPr>
                <w:rFonts w:ascii="Times New Roman" w:hAnsi="Times New Roman" w:cs="Times New Roman"/>
              </w:rPr>
              <w:t>округе Нижегородской области»</w:t>
            </w:r>
          </w:p>
          <w:p w:rsidR="00ED6D8F" w:rsidRPr="002554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</w:tr>
      <w:tr w:rsidR="00ED6D8F" w:rsidRPr="009D6F4B" w:rsidTr="009D6F4B"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</w:tr>
      <w:tr w:rsidR="00ED6D8F" w:rsidRPr="009D6F4B" w:rsidTr="009D6F4B">
        <w:trPr>
          <w:trHeight w:val="467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9D6F4B" w:rsidRPr="009D6F4B" w:rsidTr="009D6F4B"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(4) юридические лица и индивидуальные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Подпрограмма 1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«Повышение эффективности муниципального управления, развитие местного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 xml:space="preserve">самоуправления и муниципальной службы </w:t>
            </w:r>
            <w:r>
              <w:rPr>
                <w:rFonts w:ascii="Times New Roman" w:hAnsi="Times New Roman" w:cs="Times New Roman"/>
                <w:szCs w:val="24"/>
              </w:rPr>
              <w:t xml:space="preserve">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 xml:space="preserve">муниципального округа Нижегородской"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line="240" w:lineRule="auto"/>
              <w:ind w:right="-75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line="240" w:lineRule="auto"/>
              <w:ind w:right="-75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1.1. Дальнейшая разработка нормативных правовых актов по вопросам прохождения муниципальной службы, внесение изменений и дополнений в действующие правовые акты с учетом федерального законодательства и регионального законодательства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 xml:space="preserve">мероприятие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1.2.Координация деятельности кадровых служб органов местного самоуправления </w:t>
            </w:r>
            <w:r>
              <w:rPr>
                <w:rFonts w:ascii="Times New Roman" w:hAnsi="Times New Roman" w:cs="Times New Roman"/>
                <w:szCs w:val="24"/>
              </w:rPr>
              <w:t xml:space="preserve">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>муниципального округа по вопросам реализации законодательства о муниципальной службе</w:t>
            </w:r>
          </w:p>
          <w:p w:rsidR="009D6F4B" w:rsidRPr="009D6F4B" w:rsidRDefault="009D6F4B" w:rsidP="009D6F4B">
            <w:pPr>
              <w:pStyle w:val="a5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pStyle w:val="a5"/>
              <w:jc w:val="left"/>
              <w:rPr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1.3.</w:t>
            </w:r>
            <w:r w:rsidRPr="009D6F4B">
              <w:rPr>
                <w:sz w:val="24"/>
                <w:szCs w:val="24"/>
              </w:rPr>
              <w:t xml:space="preserve"> </w:t>
            </w:r>
          </w:p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Внедрение эффективных технологий и перспективных методов кадровой работы на муниципальной службе, включая современные методы мотивации и стимулирования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rPr>
          <w:trHeight w:val="785"/>
        </w:trPr>
        <w:tc>
          <w:tcPr>
            <w:tcW w:w="2092" w:type="dxa"/>
            <w:vMerge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1.4.Создание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условий для планирования устойчивого карьерного роста муниципальных служащих, безупречно и эффективно исполняющих должностные обязанности, для систематического обновления и ротации кадров</w:t>
            </w:r>
          </w:p>
        </w:tc>
        <w:tc>
          <w:tcPr>
            <w:tcW w:w="2160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Основное мероприятие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1.5. Привлечение на муниципальную службу инициативных молодых специалистов, воспитание в сотрудниках преемственности кадров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1.6.Совершенствование системы подготовки </w:t>
            </w:r>
            <w:r w:rsidRPr="009D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 для муниципальной службы и дополнительного профессионального образования муниципальных служащих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1.7.Проведение оценки профессиональных, деловых и личностных качеств кандидатов на включение в резерв управленческих кадров</w:t>
            </w: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rPr>
          <w:trHeight w:val="70"/>
        </w:trPr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pStyle w:val="a5"/>
              <w:jc w:val="left"/>
              <w:rPr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 xml:space="preserve">1.8.Предоставле-ние возможности прохождения студентами практики в органах местного </w:t>
            </w:r>
            <w:r w:rsidRPr="009D6F4B">
              <w:rPr>
                <w:b w:val="0"/>
                <w:sz w:val="24"/>
                <w:szCs w:val="24"/>
              </w:rPr>
              <w:lastRenderedPageBreak/>
              <w:t xml:space="preserve">самоуправления </w:t>
            </w:r>
            <w:r>
              <w:rPr>
                <w:b w:val="0"/>
                <w:sz w:val="24"/>
                <w:szCs w:val="24"/>
              </w:rPr>
              <w:t>Вознесенского</w:t>
            </w:r>
            <w:r w:rsidRPr="009D6F4B">
              <w:rPr>
                <w:b w:val="0"/>
                <w:sz w:val="24"/>
                <w:szCs w:val="24"/>
              </w:rPr>
              <w:t xml:space="preserve"> муниципального округа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 xml:space="preserve"> 1.9. Проведение конкурсов на замещение вакантных должностей муниципальной службы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rPr>
          <w:trHeight w:val="1104"/>
        </w:trPr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rPr>
          <w:trHeight w:val="278"/>
        </w:trPr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1.10.Оценка профессиональ-ной служебной деятельности муниципальных служащих посредством проведения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аттестации, квалификационного экзамена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(4) юридические лица и индивидуальные предприниматели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1.11.Проведение экспертизы муниципальных правовых актов о прохождении муниципальной службы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F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1.12.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Обеспечение надлежащих условий для качественного исполнения муниципальными служащими </w:t>
            </w:r>
            <w:r>
              <w:rPr>
                <w:rFonts w:ascii="Times New Roman" w:hAnsi="Times New Roman" w:cs="Times New Roman"/>
                <w:szCs w:val="24"/>
              </w:rPr>
              <w:t>округа</w:t>
            </w:r>
            <w:r w:rsidRPr="009D6F4B">
              <w:rPr>
                <w:rFonts w:ascii="Times New Roman" w:hAnsi="Times New Roman" w:cs="Times New Roman"/>
                <w:szCs w:val="24"/>
              </w:rPr>
              <w:t xml:space="preserve"> своих должностных обязанностей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9D6F4B" w:rsidRPr="009D6F4B" w:rsidRDefault="009D6F4B" w:rsidP="009D6F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1.13. Улучшение кадрового состава муниципальных служащих путем: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- должностного роста муниципальных служащих на основе их профессиональных заслуг и деловых качеств;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- эффективного исполнения должностных обязанностей путем привлечения высококвалифицированных кадров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1.14. Проведение работ по анализу положений структурных подразделений администрации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>муниципального округа по вопросам разграничения полномочий, исключения их дублирования, внесение предложений по упорядочению их функций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1.15.Разработка системы показателей профессиональ-ной служебной деятельности, оценки результативност</w:t>
            </w:r>
            <w:r w:rsidR="006157CC">
              <w:rPr>
                <w:rFonts w:ascii="Times New Roman" w:hAnsi="Times New Roman" w:cs="Times New Roman"/>
                <w:szCs w:val="24"/>
              </w:rPr>
              <w:t>и и эффективности профессиональ</w:t>
            </w:r>
            <w:r w:rsidRPr="009D6F4B">
              <w:rPr>
                <w:rFonts w:ascii="Times New Roman" w:hAnsi="Times New Roman" w:cs="Times New Roman"/>
                <w:szCs w:val="24"/>
              </w:rPr>
              <w:t>ной служебной деятельности муниципальных служащих органов местного самоуправления  округа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1.16.Внедрение механизма текущей оценки профессиональной служебной деятельности муниципальных служащих. Привлечение независимых экспертов при проведении аттестации и квалификационного экзамена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  <w:r w:rsidR="008B612F"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1.17.Формирова-ние и ведение реестра муниципальных служащих</w:t>
            </w:r>
          </w:p>
          <w:p w:rsidR="009D6F4B" w:rsidRPr="009D6F4B" w:rsidRDefault="009D6F4B" w:rsidP="009D6F4B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9D6F4B" w:rsidRPr="009D6F4B" w:rsidRDefault="009D6F4B" w:rsidP="00921B8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1.18.Проведение семинаров, круглых столов, презентаций, мероприятий, посвященных Дню местного самоуправления и иных мероприятий способствующих развитию местного самоуправления</w:t>
            </w: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6C793C" w:rsidRPr="009D6F4B" w:rsidTr="006C793C">
        <w:tc>
          <w:tcPr>
            <w:tcW w:w="2092" w:type="dxa"/>
            <w:vMerge w:val="restart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Cs w:val="24"/>
              </w:rPr>
              <w:t xml:space="preserve"> 2</w:t>
            </w:r>
          </w:p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Pr="009D6F4B">
              <w:rPr>
                <w:rFonts w:ascii="Times New Roman" w:hAnsi="Times New Roman" w:cs="Times New Roman"/>
                <w:szCs w:val="24"/>
              </w:rPr>
              <w:t>Ресурсное обеспечение реализации муниципальной программы «Повышение эффективн</w:t>
            </w:r>
            <w:r>
              <w:rPr>
                <w:rFonts w:ascii="Times New Roman" w:hAnsi="Times New Roman" w:cs="Times New Roman"/>
                <w:szCs w:val="24"/>
              </w:rPr>
              <w:t xml:space="preserve">ости муниципального управления 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>муниципального округа Нижегородской области »</w:t>
            </w: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  <w:tr w:rsidR="006C793C" w:rsidRPr="009D6F4B" w:rsidTr="006C793C">
        <w:tc>
          <w:tcPr>
            <w:tcW w:w="2092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</w:tr>
      <w:tr w:rsidR="006C793C" w:rsidRPr="009D6F4B" w:rsidTr="006C793C">
        <w:tc>
          <w:tcPr>
            <w:tcW w:w="2092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6C793C" w:rsidRPr="009D6F4B" w:rsidTr="006C793C">
        <w:tc>
          <w:tcPr>
            <w:tcW w:w="2092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6C793C" w:rsidRPr="009D6F4B" w:rsidTr="006C793C">
        <w:tc>
          <w:tcPr>
            <w:tcW w:w="2092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6C793C" w:rsidRPr="009D6F4B" w:rsidTr="006C793C">
        <w:tc>
          <w:tcPr>
            <w:tcW w:w="2092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C793C" w:rsidRPr="009D6F4B" w:rsidRDefault="006C793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 w:val="restart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Расходы на содержание аппарата управления</w:t>
            </w:r>
          </w:p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21B86" w:rsidRPr="009D6F4B" w:rsidTr="001B653F">
        <w:tc>
          <w:tcPr>
            <w:tcW w:w="4252" w:type="dxa"/>
            <w:gridSpan w:val="2"/>
            <w:vMerge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21B86" w:rsidRPr="009D6F4B" w:rsidRDefault="00921B8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6C793C" w:rsidRPr="009D6F4B" w:rsidRDefault="006C793C" w:rsidP="006C793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6C793C" w:rsidRPr="009D6F4B" w:rsidRDefault="006C793C" w:rsidP="006C793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9D6F4B" w:rsidRPr="009D6F4B" w:rsidRDefault="009D6F4B" w:rsidP="008B612F">
      <w:pPr>
        <w:widowControl w:val="0"/>
        <w:autoSpaceDE w:val="0"/>
        <w:autoSpaceDN w:val="0"/>
        <w:adjustRightInd w:val="0"/>
        <w:spacing w:line="240" w:lineRule="auto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sectPr w:rsidR="009D6F4B" w:rsidRPr="009D6F4B" w:rsidSect="009D6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3D3"/>
    <w:multiLevelType w:val="multilevel"/>
    <w:tmpl w:val="6D3619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1">
    <w:nsid w:val="030E5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152CDA"/>
    <w:multiLevelType w:val="hybridMultilevel"/>
    <w:tmpl w:val="EBE6692C"/>
    <w:lvl w:ilvl="0" w:tplc="4F140C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6655FB"/>
    <w:multiLevelType w:val="hybridMultilevel"/>
    <w:tmpl w:val="C860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002E8"/>
    <w:multiLevelType w:val="hybridMultilevel"/>
    <w:tmpl w:val="B7B40830"/>
    <w:lvl w:ilvl="0" w:tplc="7A0E0E16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D0826C6"/>
    <w:multiLevelType w:val="hybridMultilevel"/>
    <w:tmpl w:val="7E02A0B4"/>
    <w:lvl w:ilvl="0" w:tplc="8444C16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FB83AA6"/>
    <w:multiLevelType w:val="multilevel"/>
    <w:tmpl w:val="87182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  <w:color w:val="auto"/>
      </w:rPr>
    </w:lvl>
  </w:abstractNum>
  <w:abstractNum w:abstractNumId="8">
    <w:nsid w:val="11AC263D"/>
    <w:multiLevelType w:val="hybridMultilevel"/>
    <w:tmpl w:val="E39EA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95638A"/>
    <w:multiLevelType w:val="multilevel"/>
    <w:tmpl w:val="C1A0C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160"/>
      </w:pPr>
      <w:rPr>
        <w:rFonts w:hint="default"/>
      </w:rPr>
    </w:lvl>
  </w:abstractNum>
  <w:abstractNum w:abstractNumId="10">
    <w:nsid w:val="15AB7D8C"/>
    <w:multiLevelType w:val="multilevel"/>
    <w:tmpl w:val="6524B664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AAB3550"/>
    <w:multiLevelType w:val="singleLevel"/>
    <w:tmpl w:val="DC66F66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1E892D4F"/>
    <w:multiLevelType w:val="multilevel"/>
    <w:tmpl w:val="41EA29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abstractNum w:abstractNumId="13">
    <w:nsid w:val="21B3134C"/>
    <w:multiLevelType w:val="multilevel"/>
    <w:tmpl w:val="03D4419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07"/>
        </w:tabs>
        <w:ind w:left="1207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9"/>
        </w:tabs>
        <w:ind w:left="164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6"/>
        </w:tabs>
        <w:ind w:left="24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8"/>
        </w:tabs>
        <w:ind w:left="2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0"/>
        </w:tabs>
        <w:ind w:left="3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2"/>
        </w:tabs>
        <w:ind w:left="4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94"/>
        </w:tabs>
        <w:ind w:left="48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96"/>
        </w:tabs>
        <w:ind w:left="5696" w:hanging="2160"/>
      </w:pPr>
      <w:rPr>
        <w:rFonts w:hint="default"/>
      </w:rPr>
    </w:lvl>
  </w:abstractNum>
  <w:abstractNum w:abstractNumId="14">
    <w:nsid w:val="28FB6B6F"/>
    <w:multiLevelType w:val="singleLevel"/>
    <w:tmpl w:val="7D00DC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F29735C"/>
    <w:multiLevelType w:val="hybridMultilevel"/>
    <w:tmpl w:val="C3A4E06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BE0C1C"/>
    <w:multiLevelType w:val="multilevel"/>
    <w:tmpl w:val="E95C038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color w:val="FF0000"/>
        <w:sz w:val="24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  <w:sz w:val="24"/>
      </w:rPr>
    </w:lvl>
  </w:abstractNum>
  <w:abstractNum w:abstractNumId="17">
    <w:nsid w:val="40D90B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4E954B0"/>
    <w:multiLevelType w:val="hybridMultilevel"/>
    <w:tmpl w:val="41F0F6F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7F39DA"/>
    <w:multiLevelType w:val="multilevel"/>
    <w:tmpl w:val="9B44270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FF0000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</w:rPr>
    </w:lvl>
  </w:abstractNum>
  <w:abstractNum w:abstractNumId="20">
    <w:nsid w:val="4D8951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E4C03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0D07064"/>
    <w:multiLevelType w:val="multilevel"/>
    <w:tmpl w:val="4BAC7A0A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79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97B0EB8"/>
    <w:multiLevelType w:val="hybridMultilevel"/>
    <w:tmpl w:val="7E6EDC42"/>
    <w:lvl w:ilvl="0" w:tplc="61A8DC9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  <w:color w:val="000000"/>
      </w:rPr>
    </w:lvl>
    <w:lvl w:ilvl="1" w:tplc="20CA39DE">
      <w:numFmt w:val="none"/>
      <w:lvlText w:val=""/>
      <w:lvlJc w:val="left"/>
      <w:pPr>
        <w:tabs>
          <w:tab w:val="num" w:pos="360"/>
        </w:tabs>
      </w:pPr>
    </w:lvl>
    <w:lvl w:ilvl="2" w:tplc="8822EE5C">
      <w:numFmt w:val="none"/>
      <w:lvlText w:val=""/>
      <w:lvlJc w:val="left"/>
      <w:pPr>
        <w:tabs>
          <w:tab w:val="num" w:pos="360"/>
        </w:tabs>
      </w:pPr>
    </w:lvl>
    <w:lvl w:ilvl="3" w:tplc="D8E0AB48">
      <w:numFmt w:val="none"/>
      <w:lvlText w:val=""/>
      <w:lvlJc w:val="left"/>
      <w:pPr>
        <w:tabs>
          <w:tab w:val="num" w:pos="360"/>
        </w:tabs>
      </w:pPr>
    </w:lvl>
    <w:lvl w:ilvl="4" w:tplc="987C4668">
      <w:numFmt w:val="none"/>
      <w:lvlText w:val=""/>
      <w:lvlJc w:val="left"/>
      <w:pPr>
        <w:tabs>
          <w:tab w:val="num" w:pos="360"/>
        </w:tabs>
      </w:pPr>
    </w:lvl>
    <w:lvl w:ilvl="5" w:tplc="533CAD46">
      <w:numFmt w:val="none"/>
      <w:lvlText w:val=""/>
      <w:lvlJc w:val="left"/>
      <w:pPr>
        <w:tabs>
          <w:tab w:val="num" w:pos="360"/>
        </w:tabs>
      </w:pPr>
    </w:lvl>
    <w:lvl w:ilvl="6" w:tplc="E520AD7C">
      <w:numFmt w:val="none"/>
      <w:lvlText w:val=""/>
      <w:lvlJc w:val="left"/>
      <w:pPr>
        <w:tabs>
          <w:tab w:val="num" w:pos="360"/>
        </w:tabs>
      </w:pPr>
    </w:lvl>
    <w:lvl w:ilvl="7" w:tplc="F5CC5628">
      <w:numFmt w:val="none"/>
      <w:lvlText w:val=""/>
      <w:lvlJc w:val="left"/>
      <w:pPr>
        <w:tabs>
          <w:tab w:val="num" w:pos="360"/>
        </w:tabs>
      </w:pPr>
    </w:lvl>
    <w:lvl w:ilvl="8" w:tplc="9DFC55A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A826A8E"/>
    <w:multiLevelType w:val="hybridMultilevel"/>
    <w:tmpl w:val="63A063EE"/>
    <w:lvl w:ilvl="0" w:tplc="6E38D3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B5232F4"/>
    <w:multiLevelType w:val="hybridMultilevel"/>
    <w:tmpl w:val="11B82C88"/>
    <w:lvl w:ilvl="0" w:tplc="99606C0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3E87EEF"/>
    <w:multiLevelType w:val="multilevel"/>
    <w:tmpl w:val="E3C231B8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2355"/>
        </w:tabs>
        <w:ind w:left="2355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25"/>
        </w:tabs>
        <w:ind w:left="3525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695"/>
        </w:tabs>
        <w:ind w:left="4695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5865"/>
        </w:tabs>
        <w:ind w:left="5865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  <w:color w:val="auto"/>
      </w:rPr>
    </w:lvl>
  </w:abstractNum>
  <w:abstractNum w:abstractNumId="27">
    <w:nsid w:val="74855216"/>
    <w:multiLevelType w:val="hybridMultilevel"/>
    <w:tmpl w:val="9C40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772408"/>
    <w:multiLevelType w:val="multilevel"/>
    <w:tmpl w:val="F340A99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3"/>
  </w:num>
  <w:num w:numId="4">
    <w:abstractNumId w:val="26"/>
  </w:num>
  <w:num w:numId="5">
    <w:abstractNumId w:val="28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16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4"/>
  </w:num>
  <w:num w:numId="15">
    <w:abstractNumId w:val="20"/>
  </w:num>
  <w:num w:numId="16">
    <w:abstractNumId w:val="1"/>
  </w:num>
  <w:num w:numId="17">
    <w:abstractNumId w:val="17"/>
  </w:num>
  <w:num w:numId="18">
    <w:abstractNumId w:val="2"/>
  </w:num>
  <w:num w:numId="19">
    <w:abstractNumId w:val="21"/>
  </w:num>
  <w:num w:numId="20">
    <w:abstractNumId w:val="18"/>
  </w:num>
  <w:num w:numId="21">
    <w:abstractNumId w:val="22"/>
  </w:num>
  <w:num w:numId="22">
    <w:abstractNumId w:val="27"/>
  </w:num>
  <w:num w:numId="23">
    <w:abstractNumId w:val="15"/>
  </w:num>
  <w:num w:numId="24">
    <w:abstractNumId w:val="1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8"/>
  </w:num>
  <w:num w:numId="28">
    <w:abstractNumId w:val="10"/>
  </w:num>
  <w:num w:numId="29">
    <w:abstractNumId w:val="24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D6F4B"/>
    <w:rsid w:val="00211A7D"/>
    <w:rsid w:val="002322A0"/>
    <w:rsid w:val="0025544B"/>
    <w:rsid w:val="00325DE1"/>
    <w:rsid w:val="005173E4"/>
    <w:rsid w:val="005778FB"/>
    <w:rsid w:val="006157CC"/>
    <w:rsid w:val="006C793C"/>
    <w:rsid w:val="008B612F"/>
    <w:rsid w:val="00921B86"/>
    <w:rsid w:val="009D6F4B"/>
    <w:rsid w:val="00BA74C4"/>
    <w:rsid w:val="00DD0209"/>
    <w:rsid w:val="00E95202"/>
    <w:rsid w:val="00ED6D8F"/>
    <w:rsid w:val="00FB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09"/>
  </w:style>
  <w:style w:type="paragraph" w:styleId="1">
    <w:name w:val="heading 1"/>
    <w:basedOn w:val="a"/>
    <w:next w:val="a"/>
    <w:link w:val="10"/>
    <w:qFormat/>
    <w:rsid w:val="009D6F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9D6F4B"/>
    <w:pPr>
      <w:keepNext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F4B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9D6F4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rsid w:val="009D6F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9D6F4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9D6F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9D6F4B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Cell">
    <w:name w:val="ConsPlusCell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D6F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rsid w:val="009D6F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9D6F4B"/>
    <w:rPr>
      <w:rFonts w:ascii="Tahoma" w:eastAsia="Times New Roman" w:hAnsi="Tahoma" w:cs="Times New Roman"/>
      <w:sz w:val="16"/>
      <w:szCs w:val="16"/>
    </w:rPr>
  </w:style>
  <w:style w:type="character" w:customStyle="1" w:styleId="4">
    <w:name w:val="Знак Знак4"/>
    <w:semiHidden/>
    <w:rsid w:val="009D6F4B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D6F4B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9D6F4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Абзац списка1"/>
    <w:basedOn w:val="a"/>
    <w:rsid w:val="009D6F4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"/>
    <w:basedOn w:val="a"/>
    <w:link w:val="ac"/>
    <w:rsid w:val="009D6F4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9D6F4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d">
    <w:name w:val="Strong"/>
    <w:qFormat/>
    <w:rsid w:val="009D6F4B"/>
    <w:rPr>
      <w:b/>
      <w:bCs/>
    </w:rPr>
  </w:style>
  <w:style w:type="paragraph" w:styleId="3">
    <w:name w:val="Body Text Indent 3"/>
    <w:basedOn w:val="a"/>
    <w:link w:val="30"/>
    <w:rsid w:val="009D6F4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D6F4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9D6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1st">
    <w:name w:val="tex1st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2st">
    <w:name w:val="tex2st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Знак Знак5"/>
    <w:rsid w:val="009D6F4B"/>
    <w:rPr>
      <w:sz w:val="24"/>
    </w:rPr>
  </w:style>
  <w:style w:type="paragraph" w:styleId="ae">
    <w:name w:val="Normal (Web)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6F4B"/>
  </w:style>
  <w:style w:type="character" w:styleId="af">
    <w:name w:val="page number"/>
    <w:basedOn w:val="a0"/>
    <w:rsid w:val="009D6F4B"/>
  </w:style>
  <w:style w:type="character" w:styleId="af0">
    <w:name w:val="Hyperlink"/>
    <w:rsid w:val="009D6F4B"/>
    <w:rPr>
      <w:color w:val="0000FF"/>
      <w:u w:val="single"/>
    </w:rPr>
  </w:style>
  <w:style w:type="paragraph" w:customStyle="1" w:styleId="21">
    <w:name w:val="Основной текст 21"/>
    <w:basedOn w:val="a"/>
    <w:rsid w:val="009D6F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1">
    <w:name w:val="Содержимое таблицы"/>
    <w:basedOn w:val="a"/>
    <w:rsid w:val="009D6F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9D6F4B"/>
    <w:pPr>
      <w:jc w:val="center"/>
    </w:pPr>
    <w:rPr>
      <w:b/>
      <w:bCs/>
    </w:rPr>
  </w:style>
  <w:style w:type="character" w:customStyle="1" w:styleId="WW-Absatz-Standardschriftart1111111111111">
    <w:name w:val="WW-Absatz-Standardschriftart1111111111111"/>
    <w:rsid w:val="009D6F4B"/>
  </w:style>
  <w:style w:type="paragraph" w:styleId="af3">
    <w:name w:val="footer"/>
    <w:basedOn w:val="a"/>
    <w:link w:val="af4"/>
    <w:semiHidden/>
    <w:rsid w:val="009D6F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Нижний колонтитул Знак"/>
    <w:basedOn w:val="a0"/>
    <w:link w:val="af3"/>
    <w:semiHidden/>
    <w:rsid w:val="009D6F4B"/>
    <w:rPr>
      <w:rFonts w:ascii="Calibri" w:eastAsia="Times New Roman" w:hAnsi="Calibri" w:cs="Times New Roman"/>
      <w:lang w:eastAsia="en-US"/>
    </w:rPr>
  </w:style>
  <w:style w:type="character" w:customStyle="1" w:styleId="WW-Absatz-Standardschriftart111">
    <w:name w:val="WW-Absatz-Standardschriftart111"/>
    <w:rsid w:val="009D6F4B"/>
  </w:style>
  <w:style w:type="paragraph" w:customStyle="1" w:styleId="af5">
    <w:name w:val="Нормальный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6">
    <w:name w:val="Заголовок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table" w:styleId="af7">
    <w:name w:val="Table Grid"/>
    <w:basedOn w:val="a1"/>
    <w:rsid w:val="009D6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9D6F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9">
    <w:name w:val="Subtitle"/>
    <w:basedOn w:val="a"/>
    <w:next w:val="ab"/>
    <w:link w:val="afa"/>
    <w:qFormat/>
    <w:rsid w:val="009D6F4B"/>
    <w:pPr>
      <w:keepNext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a">
    <w:name w:val="Подзаголовок Знак"/>
    <w:basedOn w:val="a0"/>
    <w:link w:val="af9"/>
    <w:rsid w:val="009D6F4B"/>
    <w:rPr>
      <w:rFonts w:ascii="Arial" w:eastAsia="Lucida Sans Unicode" w:hAnsi="Arial" w:cs="Times New Roman"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2023-11-08T08:07:00Z</cp:lastPrinted>
  <dcterms:created xsi:type="dcterms:W3CDTF">2023-08-03T10:05:00Z</dcterms:created>
  <dcterms:modified xsi:type="dcterms:W3CDTF">2023-11-08T08:41:00Z</dcterms:modified>
</cp:coreProperties>
</file>